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[uwaga dla DTP: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Skład tabeli od strony 4 Książki Nauczyciela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Wzór tabeli można pobrać z KN dla klasy 4, uwaga trzeba w główce tabeli dodać słowo „uczeń”, czyli stąd: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Historia SP WCZORAJ I DZIŚ RE kl. 4 Książka naucz.      (Id: 16906 , Kod Handlowy: 062007)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spacing w:before="0" w:after="0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  <w:b/>
        </w:rPr>
        <w:t>Roczny plan pracy z historii dla klasy szóstej szkoły podstawowej do programu nauczania „Wczoraj i dziś”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Wymagania na poszczególne oceny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655" w:type="dxa"/>
        <w:jc w:val="left"/>
        <w:tblInd w:w="-4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440"/>
        <w:gridCol w:w="2159"/>
        <w:gridCol w:w="2268"/>
        <w:gridCol w:w="2410"/>
        <w:gridCol w:w="2126"/>
        <w:gridCol w:w="2127"/>
        <w:gridCol w:w="2124"/>
      </w:tblGrid>
      <w:tr>
        <w:trPr>
          <w:trHeight w:val="345" w:hRule="atLeast"/>
        </w:trPr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2198" w:leader="none"/>
                <w:tab w:val="left" w:pos="2623" w:leader="none"/>
              </w:tabs>
              <w:spacing w:before="0" w:after="0"/>
              <w:ind w:left="922" w:hanging="213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dopuszczająca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dostateczna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dobra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bardzo dobra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celująca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I. Narodziny nowożytnego świata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średniowieczne wyobrażenia o Ziemi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przyczyny wypraw żeglarskich na przełomie XV i XVI w.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Indie, Amerykę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przykłady towarów sprowadzanych z Indii (przyprawy, jedwab)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Krzysztofa Kolumba jako odkrywcę Ameryki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nowości w technice żeglarskiej, które umożliwiły dalekomorskie wyprawy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karawela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kompas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lata pierwszej wyprawy dookoła Ziemi (1519–1522 r.) i określa, w którym wieku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trasy najważniejszych wypraw przełomu XV i XVI w. oraz wymienia ich dowódców (Krzysztof Kolumb, Ferdynand Magellan, Vasco da Gama, Bartłomiej Diaz)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tubylec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ludność tubylczą Ameryki nazwano Indianami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poszukiwania morskiej drogi do Indii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wypraw Bartłomieja Diaza i Vasco da Gamy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astrolabium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eastAsia="Arial Unicode MS"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tłumaczy pochodzenie nazwy Ameryka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wynalazkami z dziedziny żeglugi a podejmowaniem dalekich wypraw morskich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9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cywilizacje prekolumbijskie i ich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podbój Ameryki przez Hiszpanów i Portugalczyków oraz jego następstwa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zmiany w życiu ludzi w wyniku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nazwy rdzennych ludów Ameryki (Majowie, Aztekowie i Inkowie)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i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przy pomocy nauczyciela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Stary Świat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Nowy Świat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towarów, które przewożono między Ameryką a Europą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cywilizacje prekolumbijskie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zamieszkałe przez Majów, Azteków i Inków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dokonania rdzennych ludów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 jednym pozytywnym i negatywnym skutku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kolonia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niewolnik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plantacja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politykę Hiszpanów i Portugalczyków w Nowym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przewagi Europejczyków nad tubylczą ludnością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sytuacji niewolników na plantacjach w Ameryce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w Ameryce pojawiła się ludność afrykańska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pozytywne i negatywne skutki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konkwistador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działalność konkwistadorów i wymienia najbardziej znanych konkwistadorów (Hernán Cortez, Francisco Pizarro)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skolonizowane przez Hiszpanów i Portugalczyków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zmiany w życiu ludzi w wyniku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 podstawie mapy nazwy współczesnych państw położonych na obszarach dawniej zamieszkiwanych przez cywilizacje prekolumbijskie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 – cechy charakterystyczne epoki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humaniści i ich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ideał człowieka w dobie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wynalezienie druku i jego znaczenie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zaznacza na osi czasu epokę renesansu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Jana Gutenberga jako wynalazcę druku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Leonarda da Vinci jako człowieka renesansu i określa dwie–trzy dziedziny jego zainteresowań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renesans</w:t>
            </w:r>
            <w:r>
              <w:rPr>
                <w:rFonts w:eastAsia="Times"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czas trwania epoki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przedstawia ideał człowieka w epoce odrodzenia i wyjaśnia termin: </w:t>
            </w:r>
            <w:r>
              <w:rPr>
                <w:rFonts w:eastAsia="Times" w:cs="Calibri" w:cstheme="minorHAnsi"/>
                <w:i/>
              </w:rPr>
              <w:t>człowiek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antyk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humanizm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epokę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nazwę nowej epoki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wynalezienia druku na rozprzestrzenianie się idei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poglądy humanistów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Erazma z Rotterdamu jako wybitnego humanistę i przedstawia jego poglądy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pracę kopisty z pracą w średniowiecznej drukarni</w:t>
            </w:r>
          </w:p>
        </w:tc>
      </w:tr>
      <w:tr>
        <w:trPr>
          <w:trHeight w:val="2551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renesansowa radość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wybitni twórcy odrodzenia i ich dzieła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Włochy jako kolebkę renesansu,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wyjaśnia, w czym przejawiała się renesansowa radość życia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mecenat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sztukę renesansową, wskazując główne motywy podejmowane przez twórców,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fresk</w:t>
            </w:r>
            <w:r>
              <w:rPr>
                <w:rFonts w:cs="Calibri" w:cstheme="minorHAnsi"/>
              </w:rPr>
              <w:t>, podaje przykład dzieła wykonanego tą techniką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attyka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arkada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kopuła</w:t>
            </w:r>
            <w:r>
              <w:rPr>
                <w:rFonts w:cs="Calibri" w:cstheme="minorHAnsi"/>
              </w:rPr>
              <w:t xml:space="preserve"> do opisu budowli renesansowych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perspektywa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dzieł, w których zastosowano perspektywę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kryzys Kościoła katolickiego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Marcin Luter i jego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i jej następstwa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wystąpienie Marcina Lutra jako początek reformacji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odpust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wyznania protestanckie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protestanci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określa początek reformacji (1517 r.) i zaznacza tę datę na osi czasu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sprzedaż odpustów jako jedną z przyczyn reformacji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pastor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celibat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zbór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w Kościele katolickim jako przyczynę reformacji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anglikanizmu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reformacji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Marcina Lutra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opisuje postanowienia pokoju w Augsburgu (1555 r.) i wyjaśnia zasadę </w:t>
            </w:r>
            <w:r>
              <w:rPr>
                <w:rFonts w:cs="Calibri" w:cstheme="minorHAnsi"/>
                <w:i/>
              </w:rPr>
              <w:t>czyj kraj, tego 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mapie podział religijny Europy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głoszone przez Jana Kalwina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zmiany wprowadzone w liturgii protestanckiej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bookmarkStart w:id="2" w:name="_Hlk5569618"/>
            <w:bookmarkStart w:id="3" w:name="_Hlk5569618"/>
            <w:bookmarkEnd w:id="3"/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działalność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sobór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 pomocy nauczyciela przedstawia przyczyny zwołania soboru w Trydencie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zakon jezuitów jako instytucję powołaną do walki z reformacją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kontrreformacja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seminarium duchowne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seminariów duchownych w dobie kontrreformacji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założenia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Ignacego Loyolę jako założyciela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heretyk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inkwizycja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indeks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utworzenia inkwizycji i indeksu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>charakteryzuje działalność zakonu jezuitów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obowiązujące jezuitów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trzydziestoletniej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westfalskiego (1648 r.) i jego najważniejsze postanowienia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Rozdział </w:t>
            </w:r>
            <w:r>
              <w:rPr>
                <w:rFonts w:eastAsia="Calibri" w:cs="Calibri" w:cstheme="minorHAnsi"/>
                <w:b/>
              </w:rPr>
              <w:t>II. W Rzeczypospolitej szlacheckiej</w:t>
            </w:r>
          </w:p>
        </w:tc>
      </w:tr>
      <w:tr>
        <w:trPr>
          <w:trHeight w:val="126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szlachta i jej zajęcia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prawa i obowiązki szlachty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sejm walny i sejmiki ziemskie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herb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szabla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szlachty odziedziczone po rycerskich przodkach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zajęcia szlachty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demokracja szlachecka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przywilej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magnateria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średnia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zagrodowa</w:t>
            </w:r>
            <w:r>
              <w:rPr>
                <w:rFonts w:eastAsia="Times" w:cs="Calibri" w:cstheme="minorHAnsi"/>
              </w:rPr>
              <w:t>,</w:t>
            </w:r>
            <w:r>
              <w:rPr>
                <w:rFonts w:eastAsia="Times" w:cs="Calibri" w:cstheme="minorHAnsi"/>
                <w:i/>
              </w:rPr>
              <w:t xml:space="preserve"> gołota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izby sejmu walnego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przedstawia zróżnicowanie stanu szlacheckiego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wyjaśnia funkcjonowanie zasady </w:t>
            </w:r>
            <w:r>
              <w:rPr>
                <w:rFonts w:eastAsia="Times" w:cs="Calibri" w:cstheme="minorHAnsi"/>
                <w:i/>
              </w:rPr>
              <w:t>liberum veto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i obowiązki szlachty,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pospolite ruszenie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przywilejów szlacheckich na pozycję tego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datę uchwalenia konstytucji </w:t>
            </w:r>
            <w:r>
              <w:rPr>
                <w:rFonts w:cs="Calibri" w:cstheme="minorHAnsi"/>
                <w:i/>
              </w:rPr>
              <w:t>Nihil novi</w:t>
            </w:r>
            <w:r>
              <w:rPr>
                <w:rFonts w:cs="Calibri" w:cstheme="minorHAnsi"/>
              </w:rPr>
              <w:t xml:space="preserve"> (1505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prawa otrzymane przez szlachtę na mocy konstytucji </w:t>
            </w:r>
            <w:r>
              <w:rPr>
                <w:rFonts w:cs="Calibri" w:cstheme="minorHAnsi"/>
                <w:i/>
              </w:rPr>
              <w:t>Nihil novi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sejm walny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sejmiki ziemskie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decyzje podejmowane na sejmie walnym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rolę sejmików ziemskich i  zakres ich uprawnień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skład izb sejmu walnego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doszło do ukształtowania się demokracji szlacheckiej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pacing w:val="0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porównuje parlamentaryzm Rzeczypospolitej</w:t>
              <w:br/>
            </w:r>
            <w:r>
              <w:rPr>
                <w:rFonts w:eastAsia="Times New Roman" w:cs="Calibri" w:cstheme="minorHAnsi"/>
                <w:spacing w:val="0"/>
              </w:rPr>
              <w:t>XVI–XVII w. z parlamentaryzmem współczesnej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kto sprawował władzę w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3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folwark szlachecki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gospodarcza działalność szlachty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spław wiślany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folwark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dwór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ilustracji z podręcznika wymienia elementy wchodzące w skład folwarku szlacheckiego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zajęcia chłopów i mieszczan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spław wiślany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szkuta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spichlerz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pańszczyzna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przedstawia gospodarczą działalność szlachty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wskazuje na mapie Pomorze Gdańskie i najważniejsze porty położone nad Wisłą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 xml:space="preserve">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zabudowania folwarku i wskazuje ich funkcje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przyczyny i sposoby powiększania się majątków szlacheckich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tłumaczy, dlaczego szlachta uchwaliła ustawy antychłopskie i antymieszczańskie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odzyskania przez Polskę Pomorza Gdańskiego dla rozwoju gospodarki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ustawy wymierzone przeciw chłopom i mieszczanom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następstwa ożywienia gospodarczego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wpływ ustaw antychłopskich i antymieszczańskich na położenie tych grup społecznych i rozwój polskiej gospodarki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ostatni Jagiellonowie na tronie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z zakonem krzyżackim 1519–1521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hołd pruski i jego postanowienia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ostatnich władców z dynastii Jagiellonów: Zygmunta I Starego i Zygmunta Augusta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podaje i zaznacza na osi czasu datę hołdu pruskiego (1525 r.), określa wiek, w którym doszło do tego wydarzenia</w:t>
            </w:r>
          </w:p>
          <w:p>
            <w:pPr>
              <w:pStyle w:val="NoSpacing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Hołd pruski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wskazuje na mapie Prusy Książęce, Prusy Królewskie,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opisuje zależność Prus Książęcych od Polski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wyjaśnia przyczyny najazdu Iwana Groźnego na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wojny Polski z zakonem krzyżackim (1519–1521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 walczące o Inflanty i wskazuje sporne terytorium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rywalizacji Polski, Szwecji, Moskwy i Danii o Inflanty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hołd lenny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hołdu pruskiego (1525 r.) 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jego skutki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korzyści i zagrożenia wynikające z postanowień hołdu pruskiego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politykę wschodnią ostatnich Jagiellonów i jej następstwa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idee renesansowe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polskiego renesansu i jej twórcy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renesansowy Wawel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odkrycie Mikołaja Kopernika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Mikołaja Kopernika jako twórcę teorii heliocentrycznej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Wawel jako przykład budowli renesansowej w Polsce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włoszczyzna</w:t>
            </w:r>
            <w:r>
              <w:rPr>
                <w:rFonts w:eastAsia="Times" w:cs="Calibri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Mikołaja Reja i Jana Kochanowskiego jako twórców literatury renesansowej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 przyczyny twórczości literackiej w języku polskim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odkrycie Mikołaja Kopernika i pokazuje różnice między teorią polskiego astronoma a dotychczas obowiązującą koncepcją budowy wszechświata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arras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krużganki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mecenat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charakteryzuje krótko twórczość Mikołaja Reja i Jana Kochanowskiego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 Wawel jako przykład architektury renesansu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uzasadnia tezę, że Mikołaj Kopernik był człowiekiem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przywołuje Galileusza jako zwolennika teorii Kopernika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teoria geocentryczna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teoria heliocentryczna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rozwoju kultury renesansowej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ostatnich Jagiellonów dla rozwoju renesansu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poglądy Andrzeja Frycza Modrzewskiego jako pisarza politycznego doby renesansu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XVI stulecie nazwano złotym wiekiem w historii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wybraną budowlę renesansową w swoim regionie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geneza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postanowienia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Lublin i Rzeczpospolitą Obojga Narodów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Unia lubelska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 postać Zygmunta II Augusta jako autora i pomysłodawcę unii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unia personalna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unia realna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 nazwę Rzeczpospolita Obojga Narodów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unii lubelskiej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narodową i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analizuje wygląd herbu I Rzeczypospolitej i porównuje go z herbem Królestwa Polskiego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utworzenia Rzeczypospolitej Obojga Narodów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korzyści płynące z wielokulturowości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Wołyń, Podole i Ukrainę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korzyści i zagrożenia wynikające z utworzenia Rzeczypospolitej Obojga Narodów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7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Rzeczpospolita państwem wielowyznaniowym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Akt konfederacji warszawskiej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wielowyznaniowość I Rzeczypospolitej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tolerancja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zauważa potrzebę poszanowania odmienności religijnej i kulturowej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wymienia wyznania zamieszkujące Rzeczpospolitą Obojga Narodów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wskazuje cel podpisania konfederacji warszawskiej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podaje i zaznacza na osi czasu datę podpisania konfederacji warszawskiej (1573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Calibri" w:cstheme="minorHAnsi"/>
                <w:color w:val="00000A"/>
                <w:sz w:val="22"/>
                <w:szCs w:val="22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konfederacji warszawskiej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innowierca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świątynie różnych wyznań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Raków i Pińczów jako ważne ośrodki reformacji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wkład innych wyznań w rozwój szkolnictwa I Rzeczypospolitej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katolicyzm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judaizm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luteranizm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prawosławie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arianie i przedstawia zasady ich religii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niechęci szlachty polskiej wobec arian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i wskazuje na mapie ziemie zamieszkałe przez przedstawicieli poszczególnych wyznań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związek między narodowością a wyznawaną religią wśród mieszkańców I Rzeczypospolitej</w:t>
            </w:r>
          </w:p>
        </w:tc>
      </w:tr>
      <w:tr>
        <w:trPr>
          <w:trHeight w:val="1974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elekcyjności tronu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przebieg pierwszej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pacta conventa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4"/>
                <w:rFonts w:cs="Calibri" w:cstheme="minorHAnsi"/>
                <w:i/>
                <w:color w:val="00000A"/>
                <w:sz w:val="22"/>
                <w:szCs w:val="22"/>
              </w:rPr>
              <w:t>elekcja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>krótko opisuje, dlaczego polskich władców zaczęto wybierać drogą wolnej elekcji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i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wolna elekcja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,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 xml:space="preserve"> bezkrólewie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podaje i zaznacza na osi czasu datę pierwszej wolnej elekcji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opisuje przebieg pierwszego bezkrólewia i wyjaśnia, kim był interrex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wyboru monarchy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obrazu Canaletta opisuje miejsce i przebieg wolnej elekcji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wolnych elekcji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warunki, które musieli spełnić królowie elekcyjni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Artykuły henrykowskie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pacta conventa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wpływ </w:t>
            </w:r>
            <w:r>
              <w:rPr>
                <w:rFonts w:cs="Calibri" w:cstheme="minorHAnsi"/>
                <w:i/>
              </w:rPr>
              <w:t>Artykułów henrykowskich</w:t>
            </w:r>
            <w:r>
              <w:rPr>
                <w:rFonts w:cs="Calibri" w:cstheme="minorHAnsi"/>
              </w:rPr>
              <w:t xml:space="preserve"> i </w:t>
            </w:r>
            <w:r>
              <w:rPr>
                <w:rFonts w:cs="Calibri" w:cstheme="minorHAnsi"/>
                <w:i/>
              </w:rPr>
              <w:t>pacta conventa</w:t>
            </w:r>
            <w:r>
              <w:rPr>
                <w:rFonts w:cs="Calibri" w:cstheme="minorHAnsi"/>
              </w:rPr>
              <w:t xml:space="preserve"> na pozycję monarchy w Rzeczypospolitej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Arial Unicode MS" w:cs="Calibri" w:cstheme="minorHAnsi"/>
                <w:b/>
                <w:lang w:eastAsia="pl-PL" w:bidi="pl-PL"/>
              </w:rPr>
              <w:t>Rozdział III. W obronie granic Rzeczypospolitej</w:t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wojny Stefana Batorego o Inflanty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dymitriada i polska interwencja w Rosji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pokój w Polanowie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Inflanty i Carstwo Rosyjskie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Stefana Batorego jako kolejnego po Henryku Walezym władcę Polski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opisuje, w jakim celu została utworzona piechota wybraniecka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przedstawia, jak zakończyły się wojny o Inflanty prowadzone przez Stefana Batorego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bitwy pod Kłuszynem (1610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opowiada o znaczeniu bitwy pod Kłuszynem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przywołuje Stanisława Żółkiewskiego jako dowódcę bitwy pod Kłuszynem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najazdu Iwana Groźnego na Inflanty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piechota wybraniecka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dymitriada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Kreml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bojar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 następstwa dymitriady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tereny przyłączone przez Polskę w wyniku interwencji w Rosji (po pokoju w Polanowie i Jamie Zapolskim)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przyczyny poparcia Dymitra Samozwańca przez magnatów i duchowieństwo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przyczyny obalenia Dymitra Samozwańca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polskiej interwencji w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 Polanowie (1634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Zygmunta III wobec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pokoju w Polanowie</w:t>
            </w:r>
          </w:p>
        </w:tc>
      </w:tr>
      <w:tr>
        <w:trPr>
          <w:trHeight w:val="254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Wazowie na tronie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wojen ze Szwecją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walka o ujście Wisły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skutki wojen polsko-szwedzkich w I poł.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elementy uzbrojenia husarza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Szwecję, Inflanty i Wisłę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stolice Polski (Gniezno, Kraków, Warszawa)</w:t>
            </w:r>
          </w:p>
          <w:p>
            <w:pPr>
              <w:pStyle w:val="Normal"/>
              <w:spacing w:before="0" w:after="0"/>
              <w:ind w:firstLine="708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Kircholm i Pomorze Gdańskie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datę bitwy pod Kircholmem (1605 r.) i nazwisko dowódcy polskich wojsk (Jan Karol Chodkiewicz)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przyczyny wojen polsko-szwedzkich w XVII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poprawnie posługuje się terminem:</w:t>
            </w:r>
            <w:r>
              <w:rPr>
                <w:rFonts w:cs="Calibri" w:cstheme="minorHAnsi"/>
                <w:i/>
              </w:rPr>
              <w:t xml:space="preserve"> cło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przebieg wojny o Inflanty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Oliwę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Oliwą (1627 r.) i wyjaśnia znaczenie tego starcia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Zygmunt III Waza utracił tron Szwecji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zablokowania ujścia Wisły przez Szwedów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tłumaczy, dlaczego Polska często nie wykorzystywała swoich sukcesów militarnych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i podaje daty podpisania rozejmu w Starym Targu (1629 r.) i Sztumskiej Wsi (1635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Kozaków zaporoskich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powstanie Kozaków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ugoda w Perejasławiu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Bohdana Chmielnickiego jako przywódcę powstania Kozaków na Ukrainie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elementy uzbrojenia Kozaków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rozpoznaje na ilustracji Kozaka wśród przedstawicieli innych grup społecznych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kim byli Kozacy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Zaporoże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Ukrainę, Zaporoże i Dzikie Pola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Kozacy rejestrowi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zajęcia i sytuację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najważniejsze bitwy powstania (Żółte Wody, Korsuń, Beresteczko)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tezę, że powstanie Chmielnickiego było wojną domową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powstania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główne etapy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powstanie Chmielnickiego przerodziło się w wojnę polsko-rosyjską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Perejasław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ugody w Perejasławiu (1654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powstania Chmielnickiego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rozejm w Andruszowie jako moment zakończenia powstania i wojny polsko-rosyjskiej (1667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szlachty wobec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ze Szwecją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Szwedów na Polskę w latach 1655– 1660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postawa społeczeństwa polskiego wobec najeźdźcy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skutki potopu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potop szwedzki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Stefana Czarnieckiego jako bohatera walk ze Szwedami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obronę Jasnej Góry jako przełomowy moment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Częstochowę i Inflanty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najazd Szwedów nazwano potopem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charakteryzuje postaci Stefana Czarnieckiego i Augustyna Kordeckiego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znaczenie bohaterskiej obrony Częstochowy dla prowadzenia dalszej walki z najeźdźcą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daty potopu szwedzkiego (1655–1660 r.) oraz pokoju w Oliwie (1660 r.)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wojna podjazdowa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prowadzenia wojny podjazdowej przez Polskę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Lwów i Prusy Książęce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zobowiązania Jana Kazimierza złożone podczas ślubów lwowskich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wojen polsko-szwedzkich</w:t>
            </w:r>
          </w:p>
          <w:p>
            <w:pPr>
              <w:pStyle w:val="Tretekstu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początkowych niepowodzeń Rzeczypospolitej w czasie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postanowienia pokoju w Oliwie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zagrożenie płynące dla Rzeczypospolitej z powodu utraty lenna pruskiego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imperium osmańskie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 Turcją w XVII w.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wojna o Mołdawię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Turków na Polskę w II poł. XVIII w. i jego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odsiecz wiedeńska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sułtan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husarz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janczar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wyprawy Jana III Sobieskiego pod Wiedeń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Wiedeń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islam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wezyr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postaci Jana III Sobieskiego i Kara Mustafy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bitwy pod Chocimiem (1673 r.) oraz odsieczy wiedeńskiej (1683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z Turcją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haracz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ekspansja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najazdu tureckiego i oblężenia Kamieńca Podolskiego (1672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tereny, na których toczyła się wojna (Podole) oraz miejsca najważniejszych wydarzeń (Cecora Kamieniec Podolski, Chocim)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początkowych niepowodzeń wojsk polskich w walce z Turkami w II poł. XVII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przyczyny wojen polsko-tureckich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walkę Rzeczypospolitej o Mołdawię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hetmanów Stanisława Żółkiewskiego i Jana Karola Chodkiewicza oraz bitwy z Turcją, w których dowodzili (Cecora 1620 r., obrona Chocimia 1621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postanowienia traktatu w Buczaczu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następstwa wojen polsko-tureckich w XVII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BodyText2"/>
              <w:spacing w:lineRule="auto" w:line="240"/>
              <w:rPr>
                <w:rFonts w:cs="Calibri" w:cstheme="minorHAnsi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>skutki wojen prowadzonych przez Rzeczpospolitą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polityczno-gospodarcza kraju na przełomie XVII i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XVII stulecie jako czas wielu konfliktów wojennych prowadzonych przez Rzeczpospolitą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wskazuje na mapie państwa, z którymi Rzeczpospolita prowadziła wojny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toczonych przez Rzeczpospolitą w XVII w., w tym m.in. wyniszczenie kraju i straty terytorialne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liberum veto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utracone przez Rzeczpospolitą (Inflanty, Podole, Prusy Książęce, część Ukrainy)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uzależnienia Polski od obcych państw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funkcjonowanie aparatu władzy na przełomie XVII i XVIII w., zwracając uwagę na słabość władzy królewskiej, zrywanie sejmów i wzrost znaczenia magnaterii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państwa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i objawy kryzysu gospodarczego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rokoszu Lubomirskiego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w Rzeczypospolitej coraz większą rolę zaczynali odgrywać magnaci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postać Władysława Sicińskiego, który w 1652 r. doprowadził do pierwszego w historii zerwania sejmu</w:t>
            </w:r>
          </w:p>
        </w:tc>
      </w:tr>
      <w:tr>
        <w:trPr>
          <w:trHeight w:val="423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barok – epoka kontrastów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cechy charakterystyczne stylu barokowego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architektura i sztuka barokowa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sposobach spędzania czasu wolnego przez szlachtę na przełomie XVII i XVIII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pozytywne i negatywne cechy szlachty polskiej tego okresu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barok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zaznacza na osi czasu epokę baroku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dwie–trzy cechy charakterystyczne architektury barokowej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wyjaśnia, czym były kalwarie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malarstwo i rzeźbę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sarmatyzmu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pochodzenie terminu </w:t>
            </w:r>
            <w:r>
              <w:rPr>
                <w:rFonts w:cs="Calibri" w:cstheme="minorHAnsi"/>
                <w:i/>
              </w:rPr>
              <w:t>sarmatyzm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określenia „złota wolność szlachecka”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strój sarmacki na podstawie ilustracji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putto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ornament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genezę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rosnącej pobożności na architekturę i sztukę epoki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bezkrytycznego stosunku szlachty do ustroju państwa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na czym polega związek kultury barokowej z ruchem kontrreformacyjnym</w:t>
            </w:r>
          </w:p>
          <w:p>
            <w:pPr>
              <w:pStyle w:val="Tretekstu"/>
              <w:spacing w:before="0" w:after="0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barok jako epokę kontrastów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bookmarkStart w:id="4" w:name="_Hlk5742292"/>
            <w:bookmarkStart w:id="5" w:name="_Hlk5742292"/>
            <w:bookmarkEnd w:id="5"/>
            <w:r>
              <w:rPr>
                <w:rFonts w:cs="Calibri" w:cstheme="minorHAnsi"/>
              </w:rPr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IV. Od absolutyzmu do republiki</w:t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Edykt nantejski i jego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umacnianie władzy monarchy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absolutne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potęgą militarną i gospodarczą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krótko opisuje zakres władzy króla w monarchii absolutnej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przywołuje postać Ludwika XIV jako władcy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Francję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monarchia absolutna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uprawnienia monarchy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Ludwika XIV określano mianem Króla Słońce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czas panowania Ludwika XIV (XVII w.)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 życiu w Wersalu w czasach Ludwika XIV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manufaktura</w:t>
            </w:r>
            <w:r>
              <w:rPr>
                <w:rFonts w:cs="Calibri" w:cstheme="minorHAnsi"/>
              </w:rPr>
              <w:t>,</w:t>
            </w:r>
            <w:r>
              <w:rPr>
                <w:rFonts w:cs="Calibri" w:cstheme="minorHAnsi"/>
                <w:i/>
              </w:rPr>
              <w:t xml:space="preserve"> cło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import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eksport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Francja była europejską potęgą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doszło do wzmocnienia władzy królewskiej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hugenoci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zakończyły się wojny religijne we Francji (przywołuje Edykt nantejski)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 politykę gospodarczą ministra Colberta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twórczości Moliera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działania kardynała Richelieu zmierzające do wzmocnienia pozycji monarchy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bookmarkStart w:id="6" w:name="_Hlk5742503"/>
            <w:bookmarkEnd w:id="6"/>
            <w:r>
              <w:rPr>
                <w:rFonts w:cs="Calibri" w:cstheme="minorHAnsi"/>
              </w:rPr>
              <w:t>wskazuje pozytywne i negatywne strony panowania Ludwika XIV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angielski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konflikt Karola I z parlamentem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dyktatura Olivera Cromwella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ukształtowanie się monarchii parlamentarnej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Anglię i Londyn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przy pomocy nauczyciela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parlament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monarchia parlamentarna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wskazuje Anglię jako kraj o ustroju monarchii parlamentarnej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wymienia i krótko charakteryzuje postaci Karola I Stuarta, Olivera Cromwella i Wilhelma Orańskiego</w:t>
            </w:r>
          </w:p>
          <w:p>
            <w:pPr>
              <w:pStyle w:val="NoSpacing"/>
              <w:rPr>
                <w:rFonts w:ascii="Calibri" w:hAnsi="Calibri" w:eastAsia="Times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konfliktu Karola I z parlamentem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Deklarację praw narodu angielskiego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monarchii parlamentarnej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purytanie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nowa 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rojaliści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Olivera Cromwella i jego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1689 r. jako czas ukształtowania się monarchii parlamentarnej w Anglii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główne etapy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kształtowania się monarchii parlamentarnej 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ustrój monarchii parlamentarnej i monarchii absolutnej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ideologia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wybitni myśliciele doby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trójpodział władzy według Monteskiusza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najważniejsze dokonania naukowe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architektura oświeceniowa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oświecenie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zaznacza na osi czasu epokę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 dokonania naukowego lub technicznego epoki oświecenia (np. termometr lekarski, maszyna parowa)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klasycyzm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przykłady budowli klasycystycznych w Polsce i Europie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styl klasycystyczny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 ilustracji przedstawiających zabytki wybiera te, które zostały zbudowane w stylu klasycystycznym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dokonania naukowe i techniczne epoki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tłumaczy, </w:t>
            </w:r>
            <w:r>
              <w:rPr>
                <w:rFonts w:cs="Calibri" w:cstheme="minorHAnsi"/>
              </w:rPr>
              <w:t>dlaczego nowa epoka w kulturze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Monteskiusza i wyjaśnia, na czym polegała opracowana przez niego koncepcja trójpodziału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postaci Woltera i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ateizm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koncepcję umowy społecznej zaproponowaną przez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krytyki absolutyzmu i Kościoła przez filozofów doby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dokonań naukowych i technicznych na zmiany w życiu ludzi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Denisa Diderota dla powstania </w:t>
            </w:r>
            <w:r>
              <w:rPr>
                <w:rFonts w:cs="Calibri" w:cstheme="minorHAnsi"/>
                <w:i/>
              </w:rPr>
              <w:t>Wielkiej encyklopedii francuskiej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oświecony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narodziny potęgi Prus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monarchia austriackich Habsburgów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Cesarstwo Rosyjskie w XVIII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Rosję, Austrię i Prusy w XVIII w.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Marię Teresę, Józefa II, Piotra I i Fryderyka Wielkiego jako władców Austrii, Rosji i Prus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Rosję, Austrię i Prusy jako potęgi europejskie XVIII stulecia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absolutyzm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absolutyzm oświecony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reform w monarchiach absolutyzmu oświeconego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wpływ ideologii oświecenia na reformy w krajach absolutyzmu oświeconego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monarchowie absolutyzmu oświeconego nazywali siebie „sługami ludu”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związki między pojawieniem się nowych potęg w Europie Środkowej a sytuacją w Rzeczypospolitej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reform na wzrost znaczenia tych państw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uzyskania przez Rosję dostępu do Bałtyku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monarchię absolutną z monarchią absolutyzmu oświeconego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daty powstania Królestwa Pruskiego (1701 r.) i Cesarstwa Rosyjskiego (1721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konflikt kolonistów z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wojna o niepodległość Stanów Zjednoczonych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Stany Zjednoczone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określa czas powstania Stanów Zjednoczonych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Tadeusza Kościuszkę i Kazimierza Pułaskiego jako polskich bohaterów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kolonia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konstytucja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strony konfliktu w wojnie o niepodległość Stanów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uchwalenia konstytucji USA – pierwszej takiej ustawy na świecie (1787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Amerykanie mówią w języku angielskim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między kolonistami a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wydarzenie zwane bostońskim piciem herbaty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bojkot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powstania Stanów Zjednoczonych (4 lipca 1776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znaczenie Deklaracji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udział Polaków w walce o niepodległość USA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etapy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Boston, Filadelfię i Yorktown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zasługi Jerzego Waszyngtona dla powstania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idee oświeceniowe zapisane w konstytucji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miejsca związane z udziałem Polaków w wojnie o niepodległość USA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Kongres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Izba Reprezentantów</w:t>
            </w:r>
            <w:r>
              <w:rPr>
                <w:rFonts w:cs="Calibri" w:cstheme="minorHAnsi"/>
              </w:rPr>
              <w:t xml:space="preserve"> – charakteryzuje ustrój polityczny USA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Rozdział V. Upadek Rzeczypospolitej</w:t>
            </w:r>
          </w:p>
        </w:tc>
      </w:tr>
      <w:tr>
        <w:trPr>
          <w:trHeight w:val="83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unia personalna z Saksonią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początek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podwójna elekcja w 1733 r.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Augusta III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projekty reform Rzeczypospolitej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Augusta II Mocnego i Augusta III Sasa jako monarchów sprawujących władzę w Polsce na początku XVIII w.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unia personalna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anarchia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Saksonię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przyczyny anarchii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konfederacja</w:t>
            </w:r>
            <w:r>
              <w:rPr>
                <w:rFonts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wolna elekcja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przywileje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złota wolność szlachecka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sens powiedzeń: </w:t>
            </w:r>
            <w:r>
              <w:rPr>
                <w:rFonts w:eastAsia="Times New Roman" w:cs="Calibri" w:cstheme="minorHAnsi"/>
                <w:i/>
                <w:lang w:eastAsia="pl-PL"/>
              </w:rPr>
              <w:t>Od Sasa do Lasa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Za króla Sasa jedz, pij i popuszczaj pasa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przedstawia postać Stanisława Leszczyńskiego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projekty reform w I poł. XVIII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genezę i postanowienia sejmu niemego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obrad sejmu niemego (1717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przyczynę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pozytywne i negatywne skutki rządów Augusta III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okres rządów Augusta II Mocnego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reformy niezbędne dla wzmocnienia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Stanisław August Poniatowski królem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pierwsze reformy nowego władcy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konfederacja barska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poprawnie posługuje się terminem:</w:t>
            </w:r>
            <w:r>
              <w:rPr>
                <w:rFonts w:eastAsia="Times" w:cs="Calibri" w:cstheme="minorHAnsi"/>
                <w:i/>
              </w:rPr>
              <w:t xml:space="preserve"> rozbiory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pierwszego rozbioru Polski (1772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pierwszego rozbioru Polski i wskazuje je na mapie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Augusta Poniatowskiego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ziemie utracone przez Polskę podczas pierwszego rozbioru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pierwszego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postawę Tadeusza Rejtana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ambasador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wyboru Stanisława Augusta na króla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Stanisława Augusta w celu naprawy oświaty i gospodarki w II poł. XVIII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konfederacji barskiej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porównuje postawy rodaków wobec rozbioru państwa na podstawie analizy obrazu Jana Matejki </w:t>
            </w:r>
            <w:r>
              <w:rPr>
                <w:rFonts w:cs="Calibri" w:cstheme="minorHAnsi"/>
                <w:i/>
              </w:rPr>
              <w:t>Rejtan – Upadek Polski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prawa kardynalne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zawiązania konfederacji barskiej (1768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cel walki konfederatów barskich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przebiegu i decyzjach sejmu rozbiorowego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zawiązania konfederacji barskiej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okresu oświecenia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Teatr Narodowego i jego zadania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mecenat Stanisława Augusta Poniatowskiego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i sztuka klasycystyczna w Polsce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Stanisława Augusta jako oświeceniowego mecenasa sztuki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 zasług ostatniego króla dla rozwoju kultury polskiej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szkoła parafialna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przedmiotów nauczanych w szkołach parafialnych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obiady czwartkowe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przyczyny powołania Komisji Edukacji Narodowej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cel wychowania i edukacji młodzieży w XVIII w.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architekturę i sztukę klasycystyczną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budowli klasycystycznych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twórczość Ignacego Krasickiego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Teatru Narodowego i czasopisma „Monitor”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zmiany wprowadzone w polskim szkolnictwie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przez KEN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pisarzy politycznych II poł. XVIII w. (Hugo Kołłątaj, Stanisław Staszic) oraz ich propozycje reform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zasługi Stanisława Augusta dla rozwoju kultury i sztuki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malarzy tworzących w Polsce (Canaletto, Marcello Bacciarelli)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obrazy Canaletta są ważnym źródłem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wiedzy historycznej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twórczość Juliana Ursyna Niemcewicza i Wojciecha Bogusławskiego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budowli klasycystycznych w swoim regionie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reformy Sejmu Wielkiego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Konstytucja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wojna polsko-rosyjska w 1792 r.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drugi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konstytucja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uchwalenia Konstytucji 3 maja (1791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drugiego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na obrazie Jana Matejki </w:t>
            </w:r>
            <w:r>
              <w:rPr>
                <w:rFonts w:cs="Calibri" w:cstheme="minorHAnsi"/>
                <w:i/>
              </w:rPr>
              <w:t>Konstytucja 3 maja 1791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i/>
              </w:rPr>
              <w:t xml:space="preserve">roku </w:t>
            </w:r>
            <w:r>
              <w:rPr>
                <w:rFonts w:cs="Calibri" w:cstheme="minorHAnsi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obrad Sejmu Wielkiego (1788–1792 r.) i drugiego rozbioru (1793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reformy Sejmu Czteroletniego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najważniejsze postanowienia Konstytucji 3 maja (zniesienie </w:t>
            </w: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 i wolnej elekcji)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Małachowskiego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sytuację w Polsce po pierwszym rozbiorze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cel obrad Sejmu Wielkiego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zawiązania konfederacji targowickiej i podaje jej datę (1792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Targowicę, Dubienkę i Zieleńce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najważniejsze reformy Sejmu Czteroletniego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ustrój polityczny wprowadzony przez Konstytucję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genezę ustanowienia Orderu Virtuti Militari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opisuje przebieg wojny polsko-rosyjskiej (1792 r.),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Spacing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zmiany wprowadzone przez Konstytucję 3 maja i wskazuje ich skutki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wybuch powstania kościuszkowskiego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Uniwersał połaniecki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przebieg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naczelnik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kosynierzy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zaborcy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Tadeusza Kościuszkę jako naczelnika powstania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Tadeusza Kościuszki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insurekcja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insurekcji kościuszkowskiej (1794 r.) oraz trzeciego rozbioru Polski (1795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wybuchu i upadku powstania kościuszkowskiego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Wojciecha Bartosa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bitwie pod Racławicami i przedstawia jej znaczenie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Racławice i Połaniec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Kościuszko zdecydował się wydać Uniwersał połaniecki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upadku powstania kościuszkowskiego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uniwersał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zapisy Uniwersału połanieckiego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przebieg powstania kościuszkowskiego i podaje jego najważniejsze wydarzenia w kolejności chronologicznej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Maciejowice i przedstawia znaczenie tej bitwy dla losów powstania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przyczyny upadku Rzeczypospolitej w XVIII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" w:hRule="atLeast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VI. Rewolucja francuska i okres napoleoński</w:t>
            </w:r>
          </w:p>
        </w:tc>
      </w:tr>
      <w:tr>
        <w:trPr>
          <w:trHeight w:val="3534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sytuacja we Francji przed wybuchem rewolucji burżuazyjnej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stany społeczne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wybuch rewolucji 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uchwalenie </w:t>
            </w:r>
            <w:r>
              <w:rPr>
                <w:rFonts w:cs="Calibri" w:cstheme="minorHAnsi"/>
              </w:rPr>
              <w:t>Deklaracji praw człowieka i obywatela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Francja monarchią konstytucyjną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Francję i Paryż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konstytucja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rewolucja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Bastylia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wydarzenie, które rozpoczęło rewolucję francuską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burżuazja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Stany Generalne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i charakteryzuje stany społeczne we Francji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wybuchu rewolucji burżuazyjnej we Francji (14 lipca 1789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postać Ludwika XVI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rewolucji burżuazyjnej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stanów społecznych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zadania Konstytuanty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zapisy Deklaracji praw człowieka i obywatela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monarchia konstytucyjna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sytuację we Francji przez wybuchem rewolucji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decyzje Konstytuanty podjęte po wybuchu rewolucji i wskazuje ich przyczyny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uchwalenia konstytucji francuskiej (1791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Francji po wprowadzeniu konstytucji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i cel powstania Zgromadzenia Narodowego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ponadczasowe znaczenie Deklaracji praw człowieka i obywatela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republiką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terror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upadek rządów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gilotyna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terror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okoliczności stracenia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przyczyny obalenia władzy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 xml:space="preserve">republika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postać Maksymiliana Robespierre’a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państwa, z którymi walczyła rewolucyjna Francja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jakobini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dyrektoriat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rządy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rządy jakobinów nazwano Wielkim Terrorem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jakobinów odsunięto od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rządy dyrektoriatu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radykalizm</w:t>
            </w: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 przykładzie postaci Maksymiliana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</w:rPr>
              <w:t xml:space="preserve">Robespierre’a sens powiedzenia: </w:t>
            </w:r>
            <w:r>
              <w:rPr>
                <w:rFonts w:cs="Calibri" w:cstheme="minorHAnsi"/>
                <w:i/>
              </w:rPr>
              <w:t>Rewolucja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i/>
              </w:rPr>
              <w:t>pożera własne dzieci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rządów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upadku rządów jakobinów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jakobini przejęli rządy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terror jako narzędzie walki politycznej</w:t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obalenie rządów dyrektoriatu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Bonaparte cesarzem Francuzów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Kodeks Napoleona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u szczytu potęgi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krótko postać Napoleona Bonapartego jako cesarza Francuzów i wybitnego dowódcę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określa I poł. XIX w. jako epokę napoleońską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na infografice uzbrojenie żołnierzy epoki napoleońskiej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państwa, z którymi toczyła wojny napoleońska Francja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datę decydującej bitwy pod Austerlitz i wskazuje tę miejscowość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zamach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przejęcia władzy przez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zależne od Francji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położenie Francji w Europie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blokada kontynentalna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wprowadzenia blokady kontynentalnej przeciw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Kodeks Napoleona i podaje datę jego uchwalenia (1804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wprowadzone przez Napoleona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niezadowolenia społecznego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etapy kariery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datę koronacji cesarskiej Napoleona (1804 r.)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Napoleon koronował się na cesarza Francuzów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pokoju w Tylży (1807 r.) i przedstawia jego postanowienia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i charakter Związku Reńskiego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wyprawa na Rosję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odwrót Wielkiej Armii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bitwa pod Lipskiem 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klęska cesarza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Wielka Armia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Rosję i Moskwę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zakończyła się wyprawa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przyczyny wyprawy Napoleona na Rosję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opisuje, w jakich warunkach atmosferycznych wycofywała się Wielka Armia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bitwa pod Lipskiem została nazwana „bitwą narodów”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taktyka spalonej ziemi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wojna podjazdowa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abdykacja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strategię obronną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wyprawy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Lipskiem (1813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klęski Napoleona pod Lipskiem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przebieg kampanii rosyjskiej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Borodino (1812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Borodino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omawia, jak przebiegał odwrót Wielkiej Armii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klęski Napoleona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Polacy po utracie niepodległości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utworzenie Legionów Polskich we Włoszech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organizacja i zasady życia legionowego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państwa zaborcze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kim byli Jan Henryk Dąbrowski i Józef Wybicki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nazwę hymnu Polski i wskazuje jego związek z Legionami Polskimi we Włoszech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legiony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utworzenia Legionów Polskich we Włoszech (1797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Włochy, Francję i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Polacy wiązali nadzieję na niepodległość z Napoleonem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udział legionistów w wojnach napoleońskich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powody wysłania legionistów na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ludności polskiej po utracie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zasady obowiązujące w Legionach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Legiony były szkołą patriotyzmu i demokracji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wskazuje, w jaki sposób i skąd rekrutowano żołnierzy do polskich oddziałów wojskowych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45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utworzenie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konstytucja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Polacy pod rozkazami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upadek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Księstwo Warszawskie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okoliczności utworzenia Księstwa Warszawskiego,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Tylżę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daty utworzenia i likwidacji Księstwa Warszawskiego (1807 r., 1815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księcia Józefa Poniatowskiego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powiększenia terytorium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Raszyn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mitu napoleońskiego dla podtrzymania pamięci o Legionach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zapisy konstytucji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zapisami konstytucji Księstwa Warszawskiego a ideami rewolucji francuskiej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Somosierrę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szarży polskich szwoleżerów pod Somosierrą i wskazuje jej znaczenie dla toczonych walk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bitwy stoczone przez napoleońską Francję z udziałem Polaków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Raszynem (1809 r.)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umanst521EU">
    <w:charset w:val="01"/>
    <w:family w:val="roman"/>
    <w:pitch w:val="variable"/>
  </w:font>
  <w:font w:name="Minion 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98956820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48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"/>
    <w:qFormat/>
    <w:rsid w:val="00404a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f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0f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1b87"/>
    <w:rPr/>
  </w:style>
  <w:style w:type="character" w:styleId="Wyrnienie">
    <w:name w:val="Wyróżnienie"/>
    <w:basedOn w:val="DefaultParagraphFont"/>
    <w:uiPriority w:val="20"/>
    <w:qFormat/>
    <w:rsid w:val="002b6f15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574d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c1d1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04ac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ec1d14"/>
    <w:pPr>
      <w:spacing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Pa11" w:customStyle="1">
    <w:name w:val="Pa11"/>
    <w:basedOn w:val="Normal"/>
    <w:uiPriority w:val="99"/>
    <w:qFormat/>
    <w:rsid w:val="00e80e85"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">
    <w:name w:val="Główka"/>
    <w:basedOn w:val="Normal"/>
    <w:link w:val="Nagwek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510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pl-PL" w:val="pl-PL" w:bidi="ar-SA"/>
    </w:rPr>
  </w:style>
  <w:style w:type="paragraph" w:styleId="NoSpacing">
    <w:name w:val="No Spacing"/>
    <w:uiPriority w:val="1"/>
    <w:qFormat/>
    <w:rsid w:val="0049312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eastAsia="Calibri" w:cs="" w:cstheme="minorBidi" w:eastAsiaTheme="minorHAnsi"/>
      <w:color w:val="00000A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8574d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804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2019-05-28T07:22:00Z</dcterms:created>
  <dc:creator>Anna Pietrzak</dc:creator>
  <dc:language>pl-PL</dc:language>
  <cp:lastModifiedBy>Anna Pietrzak</cp:lastModifiedBy>
  <cp:lastPrinted>2017-09-06T11:26:00Z</cp:lastPrinted>
  <dcterms:modified xsi:type="dcterms:W3CDTF">2019-05-28T07:22:00Z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